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A9A50">
      <w:pPr>
        <w:jc w:val="center"/>
        <w:rPr>
          <w:rFonts w:hint="eastAsia" w:ascii="方正小标宋简体" w:hAnsi="方正小标宋简体" w:eastAsia="方正小标宋简体" w:cs="方正小标宋简体"/>
          <w:sz w:val="44"/>
          <w:szCs w:val="44"/>
          <w:lang w:val="en-US" w:eastAsia="zh-CN"/>
        </w:rPr>
      </w:pPr>
      <w:r>
        <w:rPr>
          <w:rFonts w:hint="eastAsia" w:ascii="仿宋" w:hAnsi="仿宋" w:eastAsia="仿宋" w:cs="仿宋"/>
          <w:b/>
          <w:bCs/>
          <w:sz w:val="44"/>
          <w:szCs w:val="44"/>
          <w:lang w:val="en-US" w:eastAsia="zh-CN"/>
        </w:rPr>
        <w:t>选科走班排课系统服务项目报价单</w:t>
      </w:r>
    </w:p>
    <w:tbl>
      <w:tblPr>
        <w:tblStyle w:val="2"/>
        <w:tblpPr w:leftFromText="180" w:rightFromText="180" w:vertAnchor="text" w:horzAnchor="page" w:tblpX="1508" w:tblpY="1534"/>
        <w:tblOverlap w:val="never"/>
        <w:tblW w:w="534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33"/>
        <w:gridCol w:w="1056"/>
        <w:gridCol w:w="1611"/>
        <w:gridCol w:w="5405"/>
      </w:tblGrid>
      <w:tr w14:paraId="6809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2" w:hRule="atLeast"/>
        </w:trPr>
        <w:tc>
          <w:tcPr>
            <w:tcW w:w="467" w:type="pct"/>
            <w:tcBorders>
              <w:top w:val="single" w:color="1F2329" w:sz="4" w:space="0"/>
              <w:left w:val="single" w:color="1F2329" w:sz="4" w:space="0"/>
              <w:bottom w:val="single" w:color="1F2329" w:sz="4" w:space="0"/>
              <w:right w:val="single" w:color="1F2329" w:sz="4" w:space="0"/>
            </w:tcBorders>
            <w:shd w:val="clear" w:color="auto" w:fill="auto"/>
            <w:vAlign w:val="center"/>
          </w:tcPr>
          <w:p w14:paraId="405E5B76">
            <w:pPr>
              <w:keepNext w:val="0"/>
              <w:keepLines w:val="0"/>
              <w:widowControl/>
              <w:suppressLineNumbers w:val="0"/>
              <w:wordWrap/>
              <w:jc w:val="center"/>
              <w:textAlignment w:val="center"/>
              <w:rPr>
                <w:rFonts w:hint="eastAsia" w:ascii="仿宋" w:hAnsi="仿宋" w:eastAsia="仿宋" w:cs="仿宋"/>
                <w:b/>
                <w:bCs/>
                <w:i w:val="0"/>
                <w:iCs w:val="0"/>
                <w:color w:val="000000"/>
                <w:sz w:val="24"/>
                <w:szCs w:val="24"/>
              </w:rPr>
            </w:pPr>
            <w:r>
              <w:rPr>
                <w:rFonts w:hint="eastAsia" w:ascii="仿宋" w:hAnsi="仿宋" w:eastAsia="仿宋" w:cs="仿宋"/>
                <w:b/>
                <w:bCs/>
                <w:i w:val="0"/>
                <w:iCs w:val="0"/>
                <w:color w:val="000000"/>
                <w:kern w:val="0"/>
                <w:sz w:val="24"/>
                <w:szCs w:val="24"/>
                <w:lang w:val="en-US" w:eastAsia="zh-CN" w:bidi="ar"/>
              </w:rPr>
              <w:t>序号</w:t>
            </w:r>
          </w:p>
        </w:tc>
        <w:tc>
          <w:tcPr>
            <w:tcW w:w="592" w:type="pct"/>
            <w:tcBorders>
              <w:top w:val="single" w:color="1F2329" w:sz="4" w:space="0"/>
              <w:left w:val="single" w:color="1F2329" w:sz="4" w:space="0"/>
              <w:bottom w:val="single" w:color="1F2329" w:sz="4" w:space="0"/>
              <w:right w:val="single" w:color="1F2329" w:sz="4" w:space="0"/>
            </w:tcBorders>
            <w:shd w:val="clear" w:color="auto" w:fill="auto"/>
            <w:vAlign w:val="center"/>
          </w:tcPr>
          <w:p w14:paraId="5DA65D2D">
            <w:pPr>
              <w:keepNext w:val="0"/>
              <w:keepLines w:val="0"/>
              <w:widowControl/>
              <w:suppressLineNumbers w:val="0"/>
              <w:wordWrap/>
              <w:jc w:val="center"/>
              <w:textAlignment w:val="center"/>
              <w:rPr>
                <w:rFonts w:hint="eastAsia" w:ascii="仿宋" w:hAnsi="仿宋" w:eastAsia="仿宋" w:cs="仿宋"/>
                <w:b/>
                <w:bCs/>
                <w:i w:val="0"/>
                <w:iCs w:val="0"/>
                <w:color w:val="000000"/>
                <w:sz w:val="24"/>
                <w:szCs w:val="24"/>
              </w:rPr>
            </w:pPr>
            <w:r>
              <w:rPr>
                <w:rFonts w:hint="eastAsia" w:ascii="仿宋" w:hAnsi="仿宋" w:eastAsia="仿宋" w:cs="仿宋"/>
                <w:b/>
                <w:bCs/>
                <w:i w:val="0"/>
                <w:iCs w:val="0"/>
                <w:color w:val="000000"/>
                <w:kern w:val="0"/>
                <w:sz w:val="24"/>
                <w:szCs w:val="24"/>
                <w:lang w:val="en-US" w:eastAsia="zh-CN" w:bidi="ar"/>
              </w:rPr>
              <w:t>产品名称</w:t>
            </w:r>
          </w:p>
        </w:tc>
        <w:tc>
          <w:tcPr>
            <w:tcW w:w="90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0F187AA5">
            <w:pPr>
              <w:keepNext w:val="0"/>
              <w:keepLines w:val="0"/>
              <w:widowControl/>
              <w:suppressLineNumbers w:val="0"/>
              <w:wordWrap/>
              <w:jc w:val="center"/>
              <w:textAlignment w:val="center"/>
              <w:rPr>
                <w:rFonts w:hint="eastAsia" w:ascii="仿宋" w:hAnsi="仿宋" w:eastAsia="仿宋" w:cs="仿宋"/>
                <w:b/>
                <w:bCs/>
                <w:i w:val="0"/>
                <w:iCs w:val="0"/>
                <w:color w:val="000000"/>
                <w:sz w:val="24"/>
                <w:szCs w:val="24"/>
              </w:rPr>
            </w:pPr>
            <w:r>
              <w:rPr>
                <w:rFonts w:hint="eastAsia" w:ascii="仿宋" w:hAnsi="仿宋" w:eastAsia="仿宋" w:cs="仿宋"/>
                <w:b/>
                <w:bCs/>
                <w:i w:val="0"/>
                <w:iCs w:val="0"/>
                <w:color w:val="000000"/>
                <w:kern w:val="0"/>
                <w:sz w:val="24"/>
                <w:szCs w:val="24"/>
                <w:lang w:val="en-US" w:eastAsia="zh-CN" w:bidi="ar"/>
              </w:rPr>
              <w:t>产品模块</w:t>
            </w:r>
          </w:p>
        </w:tc>
        <w:tc>
          <w:tcPr>
            <w:tcW w:w="303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20B2092B">
            <w:pPr>
              <w:keepNext w:val="0"/>
              <w:keepLines w:val="0"/>
              <w:widowControl/>
              <w:suppressLineNumbers w:val="0"/>
              <w:wordWrap/>
              <w:jc w:val="center"/>
              <w:textAlignment w:val="center"/>
              <w:rPr>
                <w:rFonts w:hint="eastAsia" w:ascii="仿宋" w:hAnsi="仿宋" w:eastAsia="仿宋" w:cs="仿宋"/>
                <w:b/>
                <w:bCs/>
                <w:i w:val="0"/>
                <w:iCs w:val="0"/>
                <w:color w:val="000000"/>
                <w:sz w:val="24"/>
                <w:szCs w:val="24"/>
              </w:rPr>
            </w:pPr>
            <w:r>
              <w:rPr>
                <w:rFonts w:hint="eastAsia" w:ascii="仿宋" w:hAnsi="仿宋" w:eastAsia="仿宋" w:cs="仿宋"/>
                <w:b/>
                <w:bCs/>
                <w:i w:val="0"/>
                <w:iCs w:val="0"/>
                <w:color w:val="000000"/>
                <w:kern w:val="0"/>
                <w:sz w:val="24"/>
                <w:szCs w:val="24"/>
                <w:lang w:val="en-US" w:eastAsia="zh-CN" w:bidi="ar"/>
              </w:rPr>
              <w:t>具体功能与参数</w:t>
            </w:r>
          </w:p>
        </w:tc>
      </w:tr>
      <w:tr w14:paraId="27248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467" w:type="pct"/>
            <w:vMerge w:val="restart"/>
            <w:tcBorders>
              <w:top w:val="single" w:color="1F2329" w:sz="4" w:space="0"/>
              <w:left w:val="single" w:color="1F2329" w:sz="4" w:space="0"/>
              <w:bottom w:val="single" w:color="1F2329" w:sz="4" w:space="0"/>
              <w:right w:val="single" w:color="1F2329" w:sz="4" w:space="0"/>
            </w:tcBorders>
            <w:shd w:val="clear" w:color="auto" w:fill="auto"/>
            <w:noWrap/>
            <w:vAlign w:val="center"/>
          </w:tcPr>
          <w:p w14:paraId="4128C5B7">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1</w:t>
            </w:r>
          </w:p>
        </w:tc>
        <w:tc>
          <w:tcPr>
            <w:tcW w:w="592" w:type="pct"/>
            <w:vMerge w:val="restart"/>
            <w:tcBorders>
              <w:top w:val="single" w:color="1F2329" w:sz="4" w:space="0"/>
              <w:left w:val="single" w:color="1F2329" w:sz="4" w:space="0"/>
              <w:bottom w:val="single" w:color="1F2329" w:sz="4" w:space="0"/>
              <w:right w:val="single" w:color="1F2329" w:sz="4" w:space="0"/>
            </w:tcBorders>
            <w:shd w:val="clear" w:color="auto" w:fill="auto"/>
            <w:noWrap/>
            <w:vAlign w:val="center"/>
          </w:tcPr>
          <w:p w14:paraId="3B3FBAE2">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智能排课</w:t>
            </w:r>
          </w:p>
        </w:tc>
        <w:tc>
          <w:tcPr>
            <w:tcW w:w="904" w:type="pct"/>
            <w:tcBorders>
              <w:top w:val="single" w:color="DEE0E3" w:sz="4" w:space="0"/>
              <w:left w:val="single" w:color="DEE0E3" w:sz="4" w:space="0"/>
              <w:bottom w:val="single" w:color="DEE0E3" w:sz="4" w:space="0"/>
              <w:right w:val="single" w:color="DEE0E3" w:sz="4" w:space="0"/>
            </w:tcBorders>
            <w:shd w:val="clear" w:color="auto" w:fill="auto"/>
            <w:noWrap/>
            <w:vAlign w:val="center"/>
          </w:tcPr>
          <w:p w14:paraId="6466C36A">
            <w:pPr>
              <w:keepNext w:val="0"/>
              <w:keepLines w:val="0"/>
              <w:widowControl/>
              <w:suppressLineNumbers w:val="0"/>
              <w:wordWrap/>
              <w:jc w:val="center"/>
              <w:textAlignment w:val="center"/>
              <w:rPr>
                <w:rFonts w:hint="eastAsia" w:ascii="仿宋" w:hAnsi="仿宋" w:eastAsia="仿宋" w:cs="仿宋"/>
                <w:b w:val="0"/>
                <w:bCs w:val="0"/>
                <w:i w:val="0"/>
                <w:iCs w:val="0"/>
                <w:color w:val="000000"/>
                <w:sz w:val="24"/>
                <w:szCs w:val="24"/>
              </w:rPr>
            </w:pPr>
            <w:r>
              <w:rPr>
                <w:rFonts w:hint="eastAsia" w:ascii="仿宋" w:hAnsi="仿宋" w:eastAsia="仿宋" w:cs="仿宋"/>
                <w:b w:val="0"/>
                <w:bCs w:val="0"/>
                <w:i w:val="0"/>
                <w:iCs w:val="0"/>
                <w:color w:val="000000"/>
                <w:kern w:val="0"/>
                <w:sz w:val="24"/>
                <w:szCs w:val="24"/>
                <w:lang w:val="en-US" w:eastAsia="zh-CN" w:bidi="ar"/>
              </w:rPr>
              <w:t>排课任务创建</w:t>
            </w:r>
          </w:p>
        </w:tc>
        <w:tc>
          <w:tcPr>
            <w:tcW w:w="303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711ACD37">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排课模式支持行政班排课、新高考走班排课</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排课可同时排布一个校区下的所有学段和年级下的班级课表</w:t>
            </w:r>
          </w:p>
        </w:tc>
      </w:tr>
      <w:tr w14:paraId="7E205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8" w:hRule="atLeast"/>
        </w:trPr>
        <w:tc>
          <w:tcPr>
            <w:tcW w:w="467"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60E3ABCC">
            <w:pPr>
              <w:jc w:val="center"/>
              <w:rPr>
                <w:rFonts w:hint="eastAsia" w:ascii="仿宋" w:hAnsi="仿宋" w:eastAsia="仿宋" w:cs="仿宋"/>
                <w:b w:val="0"/>
                <w:bCs w:val="0"/>
                <w:i w:val="0"/>
                <w:iCs w:val="0"/>
                <w:sz w:val="24"/>
                <w:szCs w:val="24"/>
              </w:rPr>
            </w:pPr>
          </w:p>
        </w:tc>
        <w:tc>
          <w:tcPr>
            <w:tcW w:w="592"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384380DF">
            <w:pPr>
              <w:jc w:val="center"/>
              <w:rPr>
                <w:rFonts w:hint="eastAsia" w:ascii="仿宋" w:hAnsi="仿宋" w:eastAsia="仿宋" w:cs="仿宋"/>
                <w:b w:val="0"/>
                <w:bCs w:val="0"/>
                <w:i w:val="0"/>
                <w:iCs w:val="0"/>
                <w:sz w:val="24"/>
                <w:szCs w:val="24"/>
              </w:rPr>
            </w:pP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7F1139B8">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排课作息时间设置</w:t>
            </w:r>
          </w:p>
        </w:tc>
        <w:tc>
          <w:tcPr>
            <w:tcW w:w="303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130D59D2">
            <w:pPr>
              <w:keepNext w:val="0"/>
              <w:keepLines w:val="0"/>
              <w:widowControl/>
              <w:suppressLineNumbers w:val="0"/>
              <w:jc w:val="center"/>
              <w:rPr>
                <w:rFonts w:hint="eastAsia" w:ascii="仿宋" w:hAnsi="仿宋" w:eastAsia="仿宋" w:cs="仿宋"/>
                <w:b w:val="0"/>
                <w:bCs w:val="0"/>
                <w:i w:val="0"/>
                <w:iCs w:val="0"/>
                <w:sz w:val="24"/>
                <w:szCs w:val="24"/>
              </w:rPr>
            </w:pPr>
            <w:r>
              <w:rPr>
                <w:rFonts w:hint="eastAsia" w:ascii="仿宋" w:hAnsi="仿宋" w:eastAsia="仿宋" w:cs="仿宋"/>
                <w:b/>
                <w:bCs/>
                <w:kern w:val="0"/>
                <w:sz w:val="24"/>
                <w:szCs w:val="24"/>
                <w:lang w:val="en-US" w:eastAsia="zh-CN" w:bidi="ar"/>
              </w:rPr>
              <w:t>★</w:t>
            </w:r>
            <w:r>
              <w:rPr>
                <w:rFonts w:hint="eastAsia" w:ascii="仿宋" w:hAnsi="仿宋" w:eastAsia="仿宋" w:cs="仿宋"/>
                <w:b/>
                <w:bCs/>
                <w:i w:val="0"/>
                <w:iCs w:val="0"/>
                <w:kern w:val="0"/>
                <w:sz w:val="24"/>
                <w:szCs w:val="24"/>
                <w:lang w:val="en-US" w:eastAsia="zh-CN" w:bidi="ar"/>
              </w:rPr>
              <w:t>支持最多排15个教学日的课表（提供演示视频证明）</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支持自定义教学日的名称</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kern w:val="0"/>
                <w:sz w:val="24"/>
                <w:szCs w:val="24"/>
                <w:lang w:val="en-US" w:eastAsia="zh-CN" w:bidi="ar"/>
              </w:rPr>
              <w:t>★</w:t>
            </w:r>
            <w:r>
              <w:rPr>
                <w:rFonts w:hint="eastAsia" w:ascii="仿宋" w:hAnsi="仿宋" w:eastAsia="仿宋" w:cs="仿宋"/>
                <w:b/>
                <w:bCs/>
                <w:i w:val="0"/>
                <w:iCs w:val="0"/>
                <w:kern w:val="0"/>
                <w:sz w:val="24"/>
                <w:szCs w:val="24"/>
                <w:lang w:val="en-US" w:eastAsia="zh-CN" w:bidi="ar"/>
              </w:rPr>
              <w:t>作息时间支持上午正课、下午正课的排课需求（提供演示视频证明）</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排课范围支持选择在基础数据平台已存在的行政班和走班</w:t>
            </w:r>
          </w:p>
        </w:tc>
      </w:tr>
      <w:tr w14:paraId="7885C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36" w:hRule="atLeast"/>
        </w:trPr>
        <w:tc>
          <w:tcPr>
            <w:tcW w:w="467"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69D7BC55">
            <w:pPr>
              <w:jc w:val="center"/>
              <w:rPr>
                <w:rFonts w:hint="eastAsia" w:ascii="仿宋" w:hAnsi="仿宋" w:eastAsia="仿宋" w:cs="仿宋"/>
                <w:b w:val="0"/>
                <w:bCs w:val="0"/>
                <w:i w:val="0"/>
                <w:iCs w:val="0"/>
                <w:sz w:val="24"/>
                <w:szCs w:val="24"/>
              </w:rPr>
            </w:pPr>
          </w:p>
        </w:tc>
        <w:tc>
          <w:tcPr>
            <w:tcW w:w="592"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033984BD">
            <w:pPr>
              <w:jc w:val="center"/>
              <w:rPr>
                <w:rFonts w:hint="eastAsia" w:ascii="仿宋" w:hAnsi="仿宋" w:eastAsia="仿宋" w:cs="仿宋"/>
                <w:b w:val="0"/>
                <w:bCs w:val="0"/>
                <w:i w:val="0"/>
                <w:iCs w:val="0"/>
                <w:sz w:val="24"/>
                <w:szCs w:val="24"/>
              </w:rPr>
            </w:pP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79B3F590">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排课任教课时设置</w:t>
            </w:r>
          </w:p>
        </w:tc>
        <w:tc>
          <w:tcPr>
            <w:tcW w:w="303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1D56787B">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支持从础数据平台一键导入行政班、走班的任教关系</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支持从础数据平台一键导入行政班、走班的上课场地</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支持自主录入班级的任教关系和上课场地</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支持更改课程的展示排序</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支持批量修改单科的任教和课时</w:t>
            </w:r>
          </w:p>
        </w:tc>
      </w:tr>
      <w:tr w14:paraId="134B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4" w:hRule="atLeast"/>
        </w:trPr>
        <w:tc>
          <w:tcPr>
            <w:tcW w:w="467"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2AFA8897">
            <w:pPr>
              <w:jc w:val="center"/>
              <w:rPr>
                <w:rFonts w:hint="eastAsia" w:ascii="仿宋" w:hAnsi="仿宋" w:eastAsia="仿宋" w:cs="仿宋"/>
                <w:b w:val="0"/>
                <w:bCs w:val="0"/>
                <w:i w:val="0"/>
                <w:iCs w:val="0"/>
                <w:sz w:val="24"/>
                <w:szCs w:val="24"/>
              </w:rPr>
            </w:pPr>
          </w:p>
        </w:tc>
        <w:tc>
          <w:tcPr>
            <w:tcW w:w="592"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2929CE36">
            <w:pPr>
              <w:jc w:val="center"/>
              <w:rPr>
                <w:rFonts w:hint="eastAsia" w:ascii="仿宋" w:hAnsi="仿宋" w:eastAsia="仿宋" w:cs="仿宋"/>
                <w:b w:val="0"/>
                <w:bCs w:val="0"/>
                <w:i w:val="0"/>
                <w:iCs w:val="0"/>
                <w:sz w:val="24"/>
                <w:szCs w:val="24"/>
              </w:rPr>
            </w:pP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0B2182FC">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排课主体能力</w:t>
            </w:r>
          </w:p>
        </w:tc>
        <w:tc>
          <w:tcPr>
            <w:tcW w:w="303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3FBCA9C2">
            <w:pPr>
              <w:keepNext w:val="0"/>
              <w:keepLines w:val="0"/>
              <w:widowControl/>
              <w:suppressLineNumbers w:val="0"/>
              <w:jc w:val="center"/>
              <w:rPr>
                <w:rFonts w:hint="eastAsia" w:ascii="仿宋" w:hAnsi="仿宋" w:eastAsia="仿宋" w:cs="仿宋"/>
                <w:b w:val="0"/>
                <w:bCs w:val="0"/>
                <w:i w:val="0"/>
                <w:iCs w:val="0"/>
                <w:sz w:val="24"/>
                <w:szCs w:val="24"/>
              </w:rPr>
            </w:pPr>
            <w:r>
              <w:rPr>
                <w:rFonts w:hint="eastAsia" w:ascii="仿宋" w:hAnsi="仿宋" w:eastAsia="仿宋" w:cs="仿宋"/>
                <w:kern w:val="0"/>
                <w:sz w:val="24"/>
                <w:szCs w:val="24"/>
                <w:lang w:val="en-US" w:eastAsia="zh-CN" w:bidi="ar"/>
              </w:rPr>
              <w:t>★</w:t>
            </w:r>
            <w:r>
              <w:rPr>
                <w:rFonts w:hint="eastAsia" w:ascii="仿宋" w:hAnsi="仿宋" w:eastAsia="仿宋" w:cs="仿宋"/>
                <w:b/>
                <w:bCs/>
                <w:i w:val="0"/>
                <w:iCs w:val="0"/>
                <w:kern w:val="0"/>
                <w:sz w:val="24"/>
                <w:szCs w:val="24"/>
                <w:lang w:val="en-US" w:eastAsia="zh-CN" w:bidi="ar"/>
              </w:rPr>
              <w:t>支持一次性和分步骤两种排课模式，分步排课的最小颗粒度可到一个班级的一个课时（提供演示视频证明）</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支持设置同时上课组，支持合班设置</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kern w:val="0"/>
                <w:sz w:val="24"/>
                <w:szCs w:val="24"/>
                <w:lang w:val="en-US" w:eastAsia="zh-CN" w:bidi="ar"/>
              </w:rPr>
              <w:t>★</w:t>
            </w:r>
            <w:r>
              <w:rPr>
                <w:rFonts w:hint="eastAsia" w:ascii="仿宋" w:hAnsi="仿宋" w:eastAsia="仿宋" w:cs="仿宋"/>
                <w:b w:val="0"/>
                <w:bCs w:val="0"/>
                <w:i w:val="0"/>
                <w:iCs w:val="0"/>
                <w:kern w:val="0"/>
                <w:sz w:val="24"/>
                <w:szCs w:val="24"/>
                <w:lang w:val="en-US" w:eastAsia="zh-CN" w:bidi="ar"/>
              </w:rPr>
              <w:t>支持教师维度和班级维度的排课规则，如预排设置、连堂设置、</w:t>
            </w:r>
            <w:r>
              <w:rPr>
                <w:rFonts w:hint="eastAsia" w:ascii="仿宋" w:hAnsi="仿宋" w:eastAsia="仿宋" w:cs="仿宋"/>
                <w:b/>
                <w:bCs/>
                <w:i w:val="0"/>
                <w:iCs w:val="0"/>
                <w:kern w:val="0"/>
                <w:sz w:val="24"/>
                <w:szCs w:val="24"/>
                <w:lang w:val="en-US" w:eastAsia="zh-CN" w:bidi="ar"/>
              </w:rPr>
              <w:t>教师上下午、教师课程均衡设置、教师课程间隔设置、区域互斥设置</w:t>
            </w:r>
            <w:r>
              <w:rPr>
                <w:rFonts w:hint="eastAsia" w:ascii="仿宋" w:hAnsi="仿宋" w:eastAsia="仿宋" w:cs="仿宋"/>
                <w:b w:val="0"/>
                <w:bCs w:val="0"/>
                <w:i w:val="0"/>
                <w:iCs w:val="0"/>
                <w:kern w:val="0"/>
                <w:sz w:val="24"/>
                <w:szCs w:val="24"/>
                <w:lang w:val="en-US" w:eastAsia="zh-CN" w:bidi="ar"/>
              </w:rPr>
              <w:t>、各天节次、课程不相邻、课程优先排、通用规则</w:t>
            </w:r>
            <w:r>
              <w:rPr>
                <w:rFonts w:hint="eastAsia" w:ascii="仿宋" w:hAnsi="仿宋" w:eastAsia="仿宋" w:cs="仿宋"/>
                <w:b/>
                <w:bCs/>
                <w:i w:val="0"/>
                <w:iCs w:val="0"/>
                <w:kern w:val="0"/>
                <w:sz w:val="24"/>
                <w:szCs w:val="24"/>
                <w:lang w:val="en-US" w:eastAsia="zh-CN" w:bidi="ar"/>
              </w:rPr>
              <w:t>（提供演示视频证明）</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支持年级课表、班级课表、场地课表、教师课表的展示和调整</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支持教师时间冲突、规则冲突的系统校验</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支持排课过程中的撤销和恢复</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支持已有课表的多维度清空</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支持排布完成课表的导出和对接基础平台的线上课表</w:t>
            </w:r>
          </w:p>
        </w:tc>
      </w:tr>
      <w:tr w14:paraId="790D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67" w:type="pct"/>
            <w:vMerge w:val="restart"/>
            <w:tcBorders>
              <w:top w:val="single" w:color="1F2329" w:sz="4" w:space="0"/>
              <w:left w:val="single" w:color="1F2329" w:sz="4" w:space="0"/>
              <w:bottom w:val="single" w:color="1F2329" w:sz="4" w:space="0"/>
              <w:right w:val="single" w:color="1F2329" w:sz="4" w:space="0"/>
            </w:tcBorders>
            <w:shd w:val="clear" w:color="auto" w:fill="auto"/>
            <w:noWrap/>
            <w:vAlign w:val="center"/>
          </w:tcPr>
          <w:p w14:paraId="0E7AB0C4">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2</w:t>
            </w:r>
          </w:p>
        </w:tc>
        <w:tc>
          <w:tcPr>
            <w:tcW w:w="592" w:type="pct"/>
            <w:vMerge w:val="restart"/>
            <w:tcBorders>
              <w:top w:val="single" w:color="1F2329" w:sz="4" w:space="0"/>
              <w:left w:val="single" w:color="1F2329" w:sz="4" w:space="0"/>
              <w:bottom w:val="single" w:color="1F2329" w:sz="4" w:space="0"/>
              <w:right w:val="single" w:color="1F2329" w:sz="4" w:space="0"/>
            </w:tcBorders>
            <w:shd w:val="clear" w:color="auto" w:fill="auto"/>
            <w:noWrap/>
            <w:vAlign w:val="center"/>
          </w:tcPr>
          <w:p w14:paraId="11B48F09">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线上课表</w:t>
            </w: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2B7138DB">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课表配置与发布</w:t>
            </w:r>
          </w:p>
        </w:tc>
        <w:tc>
          <w:tcPr>
            <w:tcW w:w="303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6BAF4463">
            <w:pPr>
              <w:keepNext w:val="0"/>
              <w:keepLines w:val="0"/>
              <w:widowControl/>
              <w:suppressLineNumbers w:val="0"/>
              <w:jc w:val="center"/>
              <w:rPr>
                <w:rFonts w:hint="eastAsia" w:ascii="仿宋" w:hAnsi="仿宋" w:eastAsia="仿宋" w:cs="仿宋"/>
                <w:b w:val="0"/>
                <w:bCs w:val="0"/>
                <w:i w:val="0"/>
                <w:iCs w:val="0"/>
                <w:kern w:val="0"/>
                <w:sz w:val="24"/>
                <w:szCs w:val="24"/>
                <w:lang w:val="en-US" w:eastAsia="zh-CN" w:bidi="ar"/>
              </w:rPr>
            </w:pPr>
            <w:r>
              <w:rPr>
                <w:rFonts w:hint="eastAsia" w:ascii="仿宋" w:hAnsi="仿宋" w:eastAsia="仿宋" w:cs="仿宋"/>
                <w:b w:val="0"/>
                <w:bCs w:val="0"/>
                <w:i w:val="0"/>
                <w:iCs w:val="0"/>
                <w:kern w:val="0"/>
                <w:sz w:val="24"/>
                <w:szCs w:val="24"/>
                <w:lang w:val="en-US" w:eastAsia="zh-CN" w:bidi="ar"/>
              </w:rPr>
              <w:t>提供了各行政班、走班的在线课表录入、发布、展示功能，也作为基础数据用户各种教学应用获取课程安排数据</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支持按年级维度对课表方案进行在线配置，配置完成后发布即可生成课表用于正式开展实际教学活动</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支持在线校验课程时间冲突，避免同一任课老师在同一时段安排多节课程造成冲突无法授课</w:t>
            </w:r>
          </w:p>
          <w:p w14:paraId="15AFAECF">
            <w:pPr>
              <w:keepNext w:val="0"/>
              <w:keepLines w:val="0"/>
              <w:widowControl/>
              <w:suppressLineNumbers w:val="0"/>
              <w:jc w:val="center"/>
              <w:rPr>
                <w:rFonts w:hint="eastAsia" w:ascii="仿宋" w:hAnsi="仿宋" w:eastAsia="仿宋" w:cs="仿宋"/>
                <w:b w:val="0"/>
                <w:bCs w:val="0"/>
                <w:i w:val="0"/>
                <w:iCs w:val="0"/>
                <w:sz w:val="24"/>
                <w:szCs w:val="24"/>
              </w:rPr>
            </w:pPr>
            <w:r>
              <w:rPr>
                <w:rFonts w:hint="eastAsia" w:ascii="仿宋" w:hAnsi="仿宋" w:eastAsia="仿宋" w:cs="仿宋"/>
                <w:kern w:val="0"/>
                <w:sz w:val="24"/>
                <w:szCs w:val="24"/>
                <w:lang w:val="en-US" w:eastAsia="zh-CN" w:bidi="ar"/>
              </w:rPr>
              <w:t>★</w:t>
            </w:r>
            <w:r>
              <w:rPr>
                <w:rFonts w:hint="eastAsia" w:ascii="仿宋" w:hAnsi="仿宋" w:eastAsia="仿宋" w:cs="仿宋"/>
                <w:b/>
                <w:bCs/>
                <w:i w:val="0"/>
                <w:iCs w:val="0"/>
                <w:kern w:val="0"/>
                <w:sz w:val="24"/>
                <w:szCs w:val="24"/>
                <w:lang w:val="en-US" w:eastAsia="zh-CN" w:bidi="ar"/>
              </w:rPr>
              <w:t>支持按作息模块配置是否校验课程时间冲突，方便应对师资不足时在早晚读时间一个老师督班多个班级（提供演示视频证明）</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支持对根据冬夏令时对课表作息时间进行调整</w:t>
            </w:r>
          </w:p>
        </w:tc>
      </w:tr>
      <w:tr w14:paraId="0D399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64" w:hRule="atLeast"/>
        </w:trPr>
        <w:tc>
          <w:tcPr>
            <w:tcW w:w="467"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3D7E0036">
            <w:pPr>
              <w:jc w:val="center"/>
              <w:rPr>
                <w:rFonts w:hint="eastAsia" w:ascii="仿宋" w:hAnsi="仿宋" w:eastAsia="仿宋" w:cs="仿宋"/>
                <w:b w:val="0"/>
                <w:bCs w:val="0"/>
                <w:i w:val="0"/>
                <w:iCs w:val="0"/>
                <w:sz w:val="24"/>
                <w:szCs w:val="24"/>
              </w:rPr>
            </w:pPr>
          </w:p>
        </w:tc>
        <w:tc>
          <w:tcPr>
            <w:tcW w:w="592"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7059C46B">
            <w:pPr>
              <w:jc w:val="center"/>
              <w:rPr>
                <w:rFonts w:hint="eastAsia" w:ascii="仿宋" w:hAnsi="仿宋" w:eastAsia="仿宋" w:cs="仿宋"/>
                <w:b w:val="0"/>
                <w:bCs w:val="0"/>
                <w:i w:val="0"/>
                <w:iCs w:val="0"/>
                <w:sz w:val="24"/>
                <w:szCs w:val="24"/>
              </w:rPr>
            </w:pP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10E669C4">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PC/移动端查看课表</w:t>
            </w:r>
          </w:p>
        </w:tc>
        <w:tc>
          <w:tcPr>
            <w:tcW w:w="303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3DCDE6F0">
            <w:pPr>
              <w:keepNext w:val="0"/>
              <w:keepLines w:val="0"/>
              <w:widowControl/>
              <w:suppressLineNumbers w:val="0"/>
              <w:jc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可多维度查看课表，支持查看年级课表、班级课表、教师课表、学生课表、场地课表</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kern w:val="0"/>
                <w:sz w:val="24"/>
                <w:szCs w:val="24"/>
                <w:lang w:val="en-US" w:eastAsia="zh-CN" w:bidi="ar"/>
              </w:rPr>
              <w:t>★</w:t>
            </w:r>
            <w:r>
              <w:rPr>
                <w:rFonts w:hint="eastAsia" w:ascii="仿宋" w:hAnsi="仿宋" w:eastAsia="仿宋" w:cs="仿宋"/>
                <w:b/>
                <w:bCs/>
                <w:i w:val="0"/>
                <w:iCs w:val="0"/>
                <w:kern w:val="0"/>
                <w:sz w:val="24"/>
                <w:szCs w:val="24"/>
                <w:lang w:val="en-US" w:eastAsia="zh-CN" w:bidi="ar"/>
              </w:rPr>
              <w:t>当遇到学期中更换课表、班级更换任课老师时，支持对课表重新发布或更改班级任教关系，支持设置更新生效时间，在对应时间系统将自动应用需要更新的数据，便于将更换事宜在系统中预先完成操作，避免响应不及时或遗忘（提供演示视频证明）</w:t>
            </w:r>
          </w:p>
        </w:tc>
      </w:tr>
      <w:tr w14:paraId="356B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58" w:hRule="atLeast"/>
        </w:trPr>
        <w:tc>
          <w:tcPr>
            <w:tcW w:w="467" w:type="pct"/>
            <w:vMerge w:val="restart"/>
            <w:tcBorders>
              <w:top w:val="single" w:color="1F2329" w:sz="4" w:space="0"/>
              <w:left w:val="single" w:color="1F2329" w:sz="4" w:space="0"/>
              <w:bottom w:val="single" w:color="1F2329" w:sz="4" w:space="0"/>
              <w:right w:val="single" w:color="1F2329" w:sz="4" w:space="0"/>
            </w:tcBorders>
            <w:shd w:val="clear" w:color="auto" w:fill="auto"/>
            <w:noWrap/>
            <w:vAlign w:val="center"/>
          </w:tcPr>
          <w:p w14:paraId="261E05E1">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3</w:t>
            </w:r>
          </w:p>
        </w:tc>
        <w:tc>
          <w:tcPr>
            <w:tcW w:w="592" w:type="pct"/>
            <w:vMerge w:val="restart"/>
            <w:tcBorders>
              <w:top w:val="single" w:color="1F2329" w:sz="4" w:space="0"/>
              <w:left w:val="single" w:color="1F2329" w:sz="4" w:space="0"/>
              <w:bottom w:val="single" w:color="1F2329" w:sz="4" w:space="0"/>
              <w:right w:val="single" w:color="1F2329" w:sz="4" w:space="0"/>
            </w:tcBorders>
            <w:shd w:val="clear" w:color="auto" w:fill="auto"/>
            <w:noWrap/>
            <w:vAlign w:val="center"/>
          </w:tcPr>
          <w:p w14:paraId="591DD428">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临时调代课</w:t>
            </w: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12F971C2">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教师移动端发起调课、代课、改自习</w:t>
            </w:r>
          </w:p>
        </w:tc>
        <w:tc>
          <w:tcPr>
            <w:tcW w:w="303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7339370E">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支持各任课老师在移动端发起临时调课、代课、改自习操作，经过审批人通过后完成生效。支持申请人中止申请流程、重新发起流程等</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调课：支持老师根据日期选择自己需要调换的课程以及想要与自己调换的其他老师课程并发起调课申请，由调课对方老师、教务主任审核通过后完成调课，系统将对课表自动进行对应节次课程更新，并通过移动端向双方教师、所在班级班主任通知调课结果</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代课：支持老师根据日期选择自己需要代课的课程以及想要为自己代课的老师并发起代课申请，由代课对方老师、教务主任审核通过后完成代课，系统将对课表自动进行对应节次任课老师更新，并通过移动端向双方教师、所在班级班主任通知代课结果</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改自习：支持老师根据日期选择自己需要改自习的课程并发起申请，由教务主任审核通过后完成改自习，系统将对课表自动进行对应节次课程更新，并通过移动端向所在班级班主任通知结果</w:t>
            </w:r>
          </w:p>
        </w:tc>
      </w:tr>
      <w:tr w14:paraId="7D731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36" w:hRule="atLeast"/>
        </w:trPr>
        <w:tc>
          <w:tcPr>
            <w:tcW w:w="467"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29B2FF89">
            <w:pPr>
              <w:jc w:val="center"/>
              <w:rPr>
                <w:rFonts w:hint="eastAsia" w:ascii="仿宋" w:hAnsi="仿宋" w:eastAsia="仿宋" w:cs="仿宋"/>
                <w:b w:val="0"/>
                <w:bCs w:val="0"/>
                <w:i w:val="0"/>
                <w:iCs w:val="0"/>
                <w:sz w:val="24"/>
                <w:szCs w:val="24"/>
              </w:rPr>
            </w:pPr>
          </w:p>
        </w:tc>
        <w:tc>
          <w:tcPr>
            <w:tcW w:w="592" w:type="pct"/>
            <w:vMerge w:val="continue"/>
            <w:tcBorders>
              <w:top w:val="single" w:color="1F2329" w:sz="4" w:space="0"/>
              <w:left w:val="single" w:color="1F2329" w:sz="4" w:space="0"/>
              <w:bottom w:val="single" w:color="1F2329" w:sz="4" w:space="0"/>
              <w:right w:val="single" w:color="1F2329" w:sz="4" w:space="0"/>
            </w:tcBorders>
            <w:shd w:val="clear" w:color="auto" w:fill="auto"/>
            <w:noWrap/>
            <w:vAlign w:val="center"/>
          </w:tcPr>
          <w:p w14:paraId="656EC049">
            <w:pPr>
              <w:jc w:val="center"/>
              <w:rPr>
                <w:rFonts w:hint="eastAsia" w:ascii="仿宋" w:hAnsi="仿宋" w:eastAsia="仿宋" w:cs="仿宋"/>
                <w:b w:val="0"/>
                <w:bCs w:val="0"/>
                <w:i w:val="0"/>
                <w:iCs w:val="0"/>
                <w:sz w:val="24"/>
                <w:szCs w:val="24"/>
              </w:rPr>
            </w:pPr>
          </w:p>
        </w:tc>
        <w:tc>
          <w:tcPr>
            <w:tcW w:w="904" w:type="pct"/>
            <w:tcBorders>
              <w:top w:val="single" w:color="1F2329" w:sz="4" w:space="0"/>
              <w:left w:val="single" w:color="1F2329" w:sz="4" w:space="0"/>
              <w:bottom w:val="single" w:color="1F2329" w:sz="4" w:space="0"/>
              <w:right w:val="single" w:color="1F2329" w:sz="4" w:space="0"/>
            </w:tcBorders>
            <w:shd w:val="clear" w:color="auto" w:fill="auto"/>
            <w:noWrap/>
            <w:vAlign w:val="center"/>
          </w:tcPr>
          <w:p w14:paraId="03CBFCE1">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教务管理者后台操作对老师进行调课、代课、改自习、改课程</w:t>
            </w:r>
          </w:p>
        </w:tc>
        <w:tc>
          <w:tcPr>
            <w:tcW w:w="3034" w:type="pct"/>
            <w:tcBorders>
              <w:top w:val="single" w:color="1F2329" w:sz="4" w:space="0"/>
              <w:left w:val="single" w:color="1F2329" w:sz="4" w:space="0"/>
              <w:bottom w:val="single" w:color="1F2329" w:sz="4" w:space="0"/>
              <w:right w:val="single" w:color="1F2329" w:sz="4" w:space="0"/>
            </w:tcBorders>
            <w:shd w:val="clear" w:color="auto" w:fill="auto"/>
            <w:vAlign w:val="center"/>
          </w:tcPr>
          <w:p w14:paraId="03F4DF27">
            <w:pPr>
              <w:keepNext w:val="0"/>
              <w:keepLines w:val="0"/>
              <w:widowControl/>
              <w:suppressLineNumbers w:val="0"/>
              <w:wordWrap/>
              <w:jc w:val="center"/>
              <w:textAlignment w:val="center"/>
              <w:rPr>
                <w:rFonts w:hint="eastAsia" w:ascii="仿宋" w:hAnsi="仿宋" w:eastAsia="仿宋" w:cs="仿宋"/>
                <w:b w:val="0"/>
                <w:bCs w:val="0"/>
                <w:i w:val="0"/>
                <w:iCs w:val="0"/>
                <w:sz w:val="24"/>
                <w:szCs w:val="24"/>
              </w:rPr>
            </w:pPr>
            <w:r>
              <w:rPr>
                <w:rFonts w:hint="eastAsia" w:ascii="仿宋" w:hAnsi="仿宋" w:eastAsia="仿宋" w:cs="仿宋"/>
                <w:b w:val="0"/>
                <w:bCs w:val="0"/>
                <w:i w:val="0"/>
                <w:iCs w:val="0"/>
                <w:kern w:val="0"/>
                <w:sz w:val="24"/>
                <w:szCs w:val="24"/>
                <w:lang w:val="en-US" w:eastAsia="zh-CN" w:bidi="ar"/>
              </w:rPr>
              <w:t>支持教务老师在PC端通过班级课表进行调课、代课、改自习、改课程，同时也支持对操作记录的查询和对操作的撤回</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调课：支持实时校验课程冲突，标记时间冲突不可调课的老师，方便用户快速定位符合调课条件的老师</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代课：支持实时校验课程冲突，支持通过「同课程」、「同年级」快速筛选符合代课条件的老师，同时支持通过姓名、工号查询代课老师</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改自习：支持直接PC端操作改自习</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改课程：支持教务老师直接操作课表修改部分节次的课程，无需重新配置课表方案后再重新发布课表方案生成课表</w:t>
            </w:r>
            <w:r>
              <w:rPr>
                <w:rFonts w:hint="eastAsia" w:ascii="仿宋" w:hAnsi="仿宋" w:eastAsia="仿宋" w:cs="仿宋"/>
                <w:b w:val="0"/>
                <w:bCs w:val="0"/>
                <w:i w:val="0"/>
                <w:iCs w:val="0"/>
                <w:kern w:val="0"/>
                <w:sz w:val="24"/>
                <w:szCs w:val="24"/>
                <w:lang w:val="en-US" w:eastAsia="zh-CN" w:bidi="ar"/>
              </w:rPr>
              <w:br w:type="textWrapping"/>
            </w:r>
            <w:r>
              <w:rPr>
                <w:rFonts w:hint="eastAsia" w:ascii="仿宋" w:hAnsi="仿宋" w:eastAsia="仿宋" w:cs="仿宋"/>
                <w:b w:val="0"/>
                <w:bCs w:val="0"/>
                <w:i w:val="0"/>
                <w:iCs w:val="0"/>
                <w:kern w:val="0"/>
                <w:sz w:val="24"/>
                <w:szCs w:val="24"/>
                <w:lang w:val="en-US" w:eastAsia="zh-CN" w:bidi="ar"/>
              </w:rPr>
              <w:t>支持教务老师在年级维度对课表进行批量调整，批量修改课表课程为考试、活动、自习、放假，同时也支持对操作记录的查询和对操作的撤回</w:t>
            </w:r>
          </w:p>
        </w:tc>
      </w:tr>
    </w:tbl>
    <w:p w14:paraId="30588DC2">
      <w:pPr>
        <w:keepNext w:val="0"/>
        <w:keepLines w:val="0"/>
        <w:widowControl/>
        <w:suppressLineNumbers w:val="0"/>
        <w:shd w:val="clear" w:fill="FFFFFF"/>
        <w:spacing w:before="0" w:beforeAutospacing="0" w:after="150" w:afterAutospacing="0" w:line="585" w:lineRule="atLeast"/>
        <w:ind w:right="0"/>
        <w:jc w:val="center"/>
        <w:rPr>
          <w:rFonts w:ascii="Calibri" w:hAnsi="Calibri" w:eastAsia="宋体" w:cs="Times New Roman"/>
        </w:rPr>
      </w:pPr>
    </w:p>
    <w:p w14:paraId="076EB43D">
      <w:pPr>
        <w:jc w:val="both"/>
        <w:rPr>
          <w:rFonts w:hint="eastAsia" w:ascii="方正小标宋简体" w:hAnsi="方正小标宋简体" w:eastAsia="方正小标宋简体" w:cs="方正小标宋简体"/>
          <w:color w:val="FF0000"/>
          <w:sz w:val="44"/>
          <w:szCs w:val="44"/>
          <w:lang w:val="en-US" w:eastAsia="zh-CN"/>
        </w:rPr>
      </w:pPr>
      <w:r>
        <w:rPr>
          <w:rFonts w:hint="eastAsia" w:ascii="仿宋" w:hAnsi="仿宋" w:eastAsia="仿宋" w:cs="仿宋"/>
          <w:b/>
          <w:bCs/>
          <w:color w:val="FF0000"/>
          <w:sz w:val="44"/>
          <w:szCs w:val="44"/>
          <w:lang w:val="en-US" w:eastAsia="zh-CN"/>
        </w:rPr>
        <w:t>必须满足以上所有参数要求后方可报价！</w:t>
      </w:r>
    </w:p>
    <w:p w14:paraId="0E7BB22B">
      <w:pPr>
        <w:jc w:val="both"/>
        <w:rPr>
          <w:rFonts w:hint="eastAsia" w:ascii="方正小标宋简体" w:hAnsi="方正小标宋简体" w:eastAsia="方正小标宋简体" w:cs="方正小标宋简体"/>
          <w:sz w:val="44"/>
          <w:szCs w:val="44"/>
          <w:lang w:val="en-US" w:eastAsia="zh-CN"/>
        </w:rPr>
      </w:pPr>
    </w:p>
    <w:p w14:paraId="3B2CCE05">
      <w:pPr>
        <w:jc w:val="both"/>
        <w:rPr>
          <w:rFonts w:hint="eastAsia" w:ascii="仿宋" w:hAnsi="仿宋" w:eastAsia="仿宋" w:cs="仿宋"/>
          <w:sz w:val="44"/>
          <w:szCs w:val="44"/>
          <w:u w:val="single"/>
          <w:lang w:val="en-US" w:eastAsia="zh-CN"/>
        </w:rPr>
      </w:pPr>
      <w:r>
        <w:rPr>
          <w:rFonts w:hint="eastAsia" w:ascii="仿宋" w:hAnsi="仿宋" w:eastAsia="仿宋" w:cs="仿宋"/>
          <w:sz w:val="44"/>
          <w:szCs w:val="44"/>
          <w:lang w:val="en-US" w:eastAsia="zh-CN"/>
        </w:rPr>
        <w:t>单位：</w:t>
      </w:r>
      <w:r>
        <w:rPr>
          <w:rFonts w:hint="eastAsia" w:ascii="仿宋" w:hAnsi="仿宋" w:eastAsia="仿宋" w:cs="仿宋"/>
          <w:sz w:val="44"/>
          <w:szCs w:val="44"/>
          <w:u w:val="single"/>
          <w:lang w:val="en-US" w:eastAsia="zh-CN"/>
        </w:rPr>
        <w:t xml:space="preserve">                </w:t>
      </w:r>
    </w:p>
    <w:p w14:paraId="2B332F2C">
      <w:pPr>
        <w:jc w:val="both"/>
        <w:rPr>
          <w:rFonts w:hint="eastAsia" w:ascii="仿宋" w:hAnsi="仿宋" w:eastAsia="仿宋" w:cs="仿宋"/>
          <w:sz w:val="44"/>
          <w:szCs w:val="44"/>
          <w:u w:val="single"/>
          <w:lang w:val="en-US" w:eastAsia="zh-CN"/>
        </w:rPr>
      </w:pPr>
      <w:r>
        <w:rPr>
          <w:rFonts w:hint="eastAsia" w:ascii="仿宋" w:hAnsi="仿宋" w:eastAsia="仿宋" w:cs="仿宋"/>
          <w:sz w:val="44"/>
          <w:szCs w:val="44"/>
          <w:u w:val="none"/>
          <w:lang w:val="en-US" w:eastAsia="zh-CN"/>
        </w:rPr>
        <w:t>报价：</w:t>
      </w:r>
      <w:r>
        <w:rPr>
          <w:rFonts w:hint="eastAsia" w:ascii="仿宋" w:hAnsi="仿宋" w:eastAsia="仿宋" w:cs="仿宋"/>
          <w:sz w:val="44"/>
          <w:szCs w:val="44"/>
          <w:u w:val="single"/>
          <w:lang w:val="en-US" w:eastAsia="zh-CN"/>
        </w:rPr>
        <w:t xml:space="preserve">                </w:t>
      </w:r>
      <w:bookmarkStart w:id="0" w:name="_GoBack"/>
      <w:bookmarkEnd w:id="0"/>
    </w:p>
    <w:p w14:paraId="0B9D30FB">
      <w:pPr>
        <w:jc w:val="both"/>
        <w:rPr>
          <w:rFonts w:hint="eastAsia" w:ascii="仿宋" w:hAnsi="仿宋" w:eastAsia="仿宋" w:cs="仿宋"/>
          <w:sz w:val="44"/>
          <w:szCs w:val="44"/>
          <w:u w:val="single"/>
          <w:lang w:val="en-US" w:eastAsia="zh-CN"/>
        </w:rPr>
      </w:pPr>
      <w:r>
        <w:rPr>
          <w:rFonts w:hint="eastAsia" w:ascii="仿宋" w:hAnsi="仿宋" w:eastAsia="仿宋" w:cs="仿宋"/>
          <w:sz w:val="44"/>
          <w:szCs w:val="44"/>
          <w:u w:val="none"/>
          <w:lang w:val="en-US" w:eastAsia="zh-CN"/>
        </w:rPr>
        <w:t>日期：</w:t>
      </w:r>
      <w:r>
        <w:rPr>
          <w:rFonts w:hint="eastAsia" w:ascii="仿宋" w:hAnsi="仿宋" w:eastAsia="仿宋" w:cs="仿宋"/>
          <w:sz w:val="44"/>
          <w:szCs w:val="44"/>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4580C79-63EF-45C8-BC6D-69F9165559CF}"/>
  </w:font>
  <w:font w:name="仿宋">
    <w:panose1 w:val="02010609060101010101"/>
    <w:charset w:val="86"/>
    <w:family w:val="auto"/>
    <w:pitch w:val="default"/>
    <w:sig w:usb0="800002BF" w:usb1="38CF7CFA" w:usb2="00000016" w:usb3="00000000" w:csb0="00040001" w:csb1="00000000"/>
    <w:embedRegular r:id="rId2" w:fontKey="{7979E8D0-AD35-463D-94B6-6316DA9988B2}"/>
  </w:font>
  <w:font w:name="方正小标宋简体">
    <w:panose1 w:val="02000000000000000000"/>
    <w:charset w:val="86"/>
    <w:family w:val="auto"/>
    <w:pitch w:val="default"/>
    <w:sig w:usb0="00000001" w:usb1="08000000" w:usb2="00000000" w:usb3="00000000" w:csb0="00040000" w:csb1="00000000"/>
    <w:embedRegular r:id="rId3" w:fontKey="{778CF980-E4E2-4556-9220-3A4A57D53D83}"/>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F47E3"/>
    <w:rsid w:val="38B14F10"/>
    <w:rsid w:val="573F4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2026-07-10T07:37:00Z</dcterms:created>
  <dc:creator>Administrator</dc:creator>
  <cp:lastModifiedBy>Administrator</cp:lastModifiedBy>
  <dcterms:modified xsi:type="dcterms:W3CDTF">2026-07-10T07:45:43Z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E3D8D4187F4D4628AB7C91153EC4612A_11</vt:lpwstr>
  </property>
  <property fmtid="{D5CDD505-2E9C-101B-9397-08002B2CF9AE}" pid="4" name="KSOTemplateDocerSaveRecord">
    <vt:lpwstr>eyJoZGlkIjoiMzcwMmJiZWFjYjZjNWUzNTM1MjdiZDIwNThkNjliNDAiLCJ1c2VySWQiOiI1Mjk0MjQ2NTIifQ==</vt:lpwstr>
  </property>
</Properties>
</file>